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2149D1" w14:paraId="788FC668" w14:textId="77777777" w:rsidTr="00B06231">
        <w:trPr>
          <w:cantSplit/>
        </w:trPr>
        <w:tc>
          <w:tcPr>
            <w:tcW w:w="1380" w:type="dxa"/>
          </w:tcPr>
          <w:p w14:paraId="2F0F5721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83" w:type="dxa"/>
          </w:tcPr>
          <w:p w14:paraId="7A8E52E5" w14:textId="66F844E6" w:rsidR="002149D1" w:rsidRDefault="002149D1" w:rsidP="002C315C">
            <w:r>
              <w:t xml:space="preserve">CLARIN B </w:t>
            </w:r>
            <w:r w:rsidR="002C315C">
              <w:t>Assessment procedure Summary</w:t>
            </w:r>
            <w:r>
              <w:t xml:space="preserve"> </w:t>
            </w:r>
          </w:p>
        </w:tc>
        <w:tc>
          <w:tcPr>
            <w:tcW w:w="3066" w:type="dxa"/>
            <w:vMerge w:val="restart"/>
          </w:tcPr>
          <w:p w14:paraId="410F0717" w14:textId="77777777" w:rsidR="002149D1" w:rsidRDefault="002149D1" w:rsidP="00B06231">
            <w:pPr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A2ADAE" wp14:editId="17EDC00F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D1" w14:paraId="2C687DA5" w14:textId="77777777" w:rsidTr="00B06231">
        <w:trPr>
          <w:cantSplit/>
        </w:trPr>
        <w:tc>
          <w:tcPr>
            <w:tcW w:w="1380" w:type="dxa"/>
          </w:tcPr>
          <w:p w14:paraId="3EBB87CE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083" w:type="dxa"/>
          </w:tcPr>
          <w:p w14:paraId="3B55C5C6" w14:textId="7906B7AA" w:rsidR="002149D1" w:rsidRDefault="0068608F" w:rsidP="002149D1">
            <w:r>
              <w:t>1</w:t>
            </w:r>
          </w:p>
        </w:tc>
        <w:tc>
          <w:tcPr>
            <w:tcW w:w="3066" w:type="dxa"/>
            <w:vMerge/>
          </w:tcPr>
          <w:p w14:paraId="649111E5" w14:textId="77777777" w:rsidR="002149D1" w:rsidRDefault="002149D1" w:rsidP="00B06231">
            <w:pPr>
              <w:jc w:val="both"/>
            </w:pPr>
          </w:p>
        </w:tc>
      </w:tr>
      <w:tr w:rsidR="002149D1" w14:paraId="2155B878" w14:textId="77777777" w:rsidTr="00B06231">
        <w:trPr>
          <w:cantSplit/>
        </w:trPr>
        <w:tc>
          <w:tcPr>
            <w:tcW w:w="1380" w:type="dxa"/>
          </w:tcPr>
          <w:p w14:paraId="3FA8FBA8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4083" w:type="dxa"/>
          </w:tcPr>
          <w:p w14:paraId="50CB3844" w14:textId="06EA99EE" w:rsidR="002149D1" w:rsidRDefault="002C315C" w:rsidP="003D72C4">
            <w:proofErr w:type="spellStart"/>
            <w:r>
              <w:t>Lene</w:t>
            </w:r>
            <w:proofErr w:type="spellEnd"/>
            <w:r>
              <w:t xml:space="preserve"> </w:t>
            </w:r>
            <w:proofErr w:type="spellStart"/>
            <w:r>
              <w:t>Offersgaard</w:t>
            </w:r>
            <w:proofErr w:type="spellEnd"/>
            <w:r w:rsidR="003D72C4">
              <w:t>, Peter Wittenburg</w:t>
            </w:r>
          </w:p>
        </w:tc>
        <w:tc>
          <w:tcPr>
            <w:tcW w:w="3066" w:type="dxa"/>
            <w:vMerge/>
          </w:tcPr>
          <w:p w14:paraId="1F3A798C" w14:textId="77777777" w:rsidR="002149D1" w:rsidRDefault="002149D1" w:rsidP="00B06231">
            <w:pPr>
              <w:jc w:val="both"/>
            </w:pPr>
          </w:p>
        </w:tc>
      </w:tr>
      <w:tr w:rsidR="002149D1" w14:paraId="3EE65FD6" w14:textId="77777777" w:rsidTr="00B06231">
        <w:trPr>
          <w:cantSplit/>
        </w:trPr>
        <w:tc>
          <w:tcPr>
            <w:tcW w:w="1380" w:type="dxa"/>
          </w:tcPr>
          <w:p w14:paraId="70928771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83" w:type="dxa"/>
          </w:tcPr>
          <w:p w14:paraId="4062EE91" w14:textId="1B3D4897" w:rsidR="002149D1" w:rsidRDefault="002149D1" w:rsidP="003E2D39">
            <w:r>
              <w:t>2013-</w:t>
            </w:r>
            <w:r w:rsidR="002C315C">
              <w:t>09-</w:t>
            </w:r>
            <w:r w:rsidR="0068608F">
              <w:t>25</w:t>
            </w:r>
          </w:p>
        </w:tc>
        <w:tc>
          <w:tcPr>
            <w:tcW w:w="3066" w:type="dxa"/>
            <w:vMerge/>
          </w:tcPr>
          <w:p w14:paraId="2E66F589" w14:textId="77777777" w:rsidR="002149D1" w:rsidRDefault="002149D1" w:rsidP="00B06231">
            <w:pPr>
              <w:jc w:val="both"/>
            </w:pPr>
          </w:p>
        </w:tc>
      </w:tr>
      <w:tr w:rsidR="002149D1" w14:paraId="7858737A" w14:textId="77777777" w:rsidTr="00B06231">
        <w:trPr>
          <w:cantSplit/>
        </w:trPr>
        <w:tc>
          <w:tcPr>
            <w:tcW w:w="1380" w:type="dxa"/>
          </w:tcPr>
          <w:p w14:paraId="26F77121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083" w:type="dxa"/>
          </w:tcPr>
          <w:p w14:paraId="7DBBD766" w14:textId="0E6D5D66" w:rsidR="002149D1" w:rsidRDefault="0068608F" w:rsidP="00B62EC5">
            <w:r>
              <w:t>Approved by SCCTC</w:t>
            </w:r>
          </w:p>
        </w:tc>
        <w:tc>
          <w:tcPr>
            <w:tcW w:w="3066" w:type="dxa"/>
            <w:vMerge/>
          </w:tcPr>
          <w:p w14:paraId="2A437125" w14:textId="77777777" w:rsidR="002149D1" w:rsidRDefault="002149D1" w:rsidP="00B06231">
            <w:pPr>
              <w:jc w:val="both"/>
            </w:pPr>
          </w:p>
        </w:tc>
      </w:tr>
      <w:tr w:rsidR="002149D1" w14:paraId="6A21BD08" w14:textId="77777777" w:rsidTr="00B06231">
        <w:trPr>
          <w:cantSplit/>
        </w:trPr>
        <w:tc>
          <w:tcPr>
            <w:tcW w:w="1380" w:type="dxa"/>
          </w:tcPr>
          <w:p w14:paraId="745303C2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4083" w:type="dxa"/>
          </w:tcPr>
          <w:p w14:paraId="2FC40DCF" w14:textId="73F27A61" w:rsidR="002149D1" w:rsidRDefault="002C315C" w:rsidP="00B06231">
            <w:r>
              <w:t xml:space="preserve">CAC, </w:t>
            </w:r>
            <w:proofErr w:type="spellStart"/>
            <w:r>
              <w:t>Center</w:t>
            </w:r>
            <w:proofErr w:type="spellEnd"/>
            <w:r>
              <w:t xml:space="preserve"> Committee</w:t>
            </w:r>
          </w:p>
        </w:tc>
        <w:tc>
          <w:tcPr>
            <w:tcW w:w="3066" w:type="dxa"/>
            <w:vMerge/>
          </w:tcPr>
          <w:p w14:paraId="0F527A12" w14:textId="77777777" w:rsidR="002149D1" w:rsidRDefault="002149D1" w:rsidP="00B06231">
            <w:pPr>
              <w:jc w:val="both"/>
            </w:pPr>
          </w:p>
        </w:tc>
      </w:tr>
      <w:tr w:rsidR="002149D1" w14:paraId="757D83AF" w14:textId="77777777" w:rsidTr="00B06231">
        <w:trPr>
          <w:cantSplit/>
        </w:trPr>
        <w:tc>
          <w:tcPr>
            <w:tcW w:w="1380" w:type="dxa"/>
            <w:tcBorders>
              <w:bottom w:val="single" w:sz="4" w:space="0" w:color="auto"/>
            </w:tcBorders>
          </w:tcPr>
          <w:p w14:paraId="2B5DDA76" w14:textId="77777777" w:rsidR="002149D1" w:rsidRDefault="002149D1" w:rsidP="00B06231">
            <w:pPr>
              <w:jc w:val="bot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A92B2B0" w14:textId="15F02755" w:rsidR="002149D1" w:rsidRDefault="00FF4D55" w:rsidP="002C315C">
            <w:r w:rsidRPr="00FF4D55">
              <w:t>CE-2013-0205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14:paraId="78DDF143" w14:textId="77777777" w:rsidR="002149D1" w:rsidRDefault="002149D1" w:rsidP="00B06231">
            <w:pPr>
              <w:jc w:val="both"/>
            </w:pPr>
          </w:p>
        </w:tc>
      </w:tr>
    </w:tbl>
    <w:p w14:paraId="6B31C396" w14:textId="77777777" w:rsidR="002149D1" w:rsidRDefault="002149D1" w:rsidP="002149D1"/>
    <w:p w14:paraId="6F294ACC" w14:textId="77777777" w:rsidR="002149D1" w:rsidRDefault="002149D1" w:rsidP="002149D1">
      <w:bookmarkStart w:id="0" w:name="_GoBack"/>
      <w:bookmarkEnd w:id="0"/>
    </w:p>
    <w:p w14:paraId="0BD07AD5" w14:textId="30D090E0" w:rsidR="002C315C" w:rsidRDefault="002C315C" w:rsidP="002149D1">
      <w:r>
        <w:t xml:space="preserve">This document sums up the experiences from the </w:t>
      </w:r>
      <w:r w:rsidR="00302564">
        <w:t xml:space="preserve">use of the guidelines used in the </w:t>
      </w:r>
      <w:r>
        <w:t xml:space="preserve">first round of assessment carried out spring 2013. </w:t>
      </w:r>
    </w:p>
    <w:p w14:paraId="53FCEC2C" w14:textId="77777777" w:rsidR="002C315C" w:rsidRDefault="002C315C" w:rsidP="002149D1"/>
    <w:p w14:paraId="49558A9D" w14:textId="51124471" w:rsidR="00053EBF" w:rsidRDefault="002C315C" w:rsidP="002149D1">
      <w:r>
        <w:t>The assessment</w:t>
      </w:r>
      <w:r w:rsidR="002149D1">
        <w:t xml:space="preserve"> </w:t>
      </w:r>
      <w:r w:rsidR="00053EBF">
        <w:t xml:space="preserve">candidates had </w:t>
      </w:r>
      <w:r>
        <w:t xml:space="preserve">the </w:t>
      </w:r>
      <w:r w:rsidR="002149D1">
        <w:t xml:space="preserve">guidelines </w:t>
      </w:r>
      <w:r w:rsidR="00053EBF">
        <w:t>in CE-201</w:t>
      </w:r>
      <w:r w:rsidR="00334B7D">
        <w:t>3</w:t>
      </w:r>
      <w:r w:rsidR="00053EBF">
        <w:t>-0095-B and the information on clarin.eu/node/3577 available.</w:t>
      </w:r>
    </w:p>
    <w:p w14:paraId="0CCAD2E8" w14:textId="77777777" w:rsidR="00053EBF" w:rsidRDefault="00053EBF" w:rsidP="002149D1"/>
    <w:p w14:paraId="4E69B48A" w14:textId="77777777" w:rsidR="00053EBF" w:rsidRDefault="00053EBF" w:rsidP="002149D1">
      <w:r>
        <w:t xml:space="preserve">The assessment committee used a CLARIN B Centre Evaluation Form for assessment, and fill in how compliant the centres were to the requirements. </w:t>
      </w:r>
    </w:p>
    <w:p w14:paraId="55ABB3E1" w14:textId="77777777" w:rsidR="00053EBF" w:rsidRDefault="00053EBF" w:rsidP="002149D1"/>
    <w:p w14:paraId="3723B7EF" w14:textId="1305C527" w:rsidR="00053EBF" w:rsidRDefault="00053EBF" w:rsidP="002149D1">
      <w:r>
        <w:t xml:space="preserve">It turned out that some more general requirements were not part of the guidelines and therefore missing in the applications. We expect the applicants to </w:t>
      </w:r>
      <w:r w:rsidR="00B06231">
        <w:t>easily answer</w:t>
      </w:r>
      <w:r>
        <w:t xml:space="preserve"> these questions</w:t>
      </w:r>
      <w:r w:rsidR="00B06231">
        <w:t>,</w:t>
      </w:r>
      <w:r>
        <w:t xml:space="preserve"> as part of the guidelines were meant as practical checks for the requirements mentioned in the centre requirements document (CE-2012-0037).</w:t>
      </w:r>
    </w:p>
    <w:p w14:paraId="67BFB638" w14:textId="77777777" w:rsidR="00053EBF" w:rsidRDefault="00053EBF" w:rsidP="002149D1"/>
    <w:p w14:paraId="40BE7C41" w14:textId="06DEC898" w:rsidR="00053EBF" w:rsidRDefault="00053EBF" w:rsidP="002149D1">
      <w:r>
        <w:t xml:space="preserve">Therefore we suggest adding the following items </w:t>
      </w:r>
      <w:r w:rsidR="002238E4">
        <w:t>as new point</w:t>
      </w:r>
      <w:r w:rsidR="00D6307F">
        <w:t>s</w:t>
      </w:r>
      <w:r w:rsidR="002238E4">
        <w:t xml:space="preserve"> 1</w:t>
      </w:r>
      <w:r w:rsidR="00822CE3">
        <w:t>a-1d</w:t>
      </w:r>
      <w:r w:rsidR="002238E4">
        <w:t xml:space="preserve"> </w:t>
      </w:r>
      <w:r>
        <w:t>to the CLARIN B Centre Checklist:</w:t>
      </w:r>
    </w:p>
    <w:p w14:paraId="1E277750" w14:textId="558C1B1A" w:rsidR="002149D1" w:rsidRDefault="00053EBF" w:rsidP="002149D1">
      <w:r>
        <w:t xml:space="preserve">   </w:t>
      </w:r>
    </w:p>
    <w:p w14:paraId="018AA23A" w14:textId="77777777" w:rsidR="00053EBF" w:rsidRDefault="00053EBF" w:rsidP="00053EBF">
      <w:pPr>
        <w:pStyle w:val="Heading2"/>
      </w:pPr>
      <w:r>
        <w:t>General / DSA requirements</w:t>
      </w:r>
    </w:p>
    <w:p w14:paraId="04870858" w14:textId="77777777" w:rsidR="002238E4" w:rsidRPr="002238E4" w:rsidRDefault="002238E4" w:rsidP="002238E4"/>
    <w:p w14:paraId="6B18EDA2" w14:textId="48A17392" w:rsidR="002149D1" w:rsidRDefault="002238E4" w:rsidP="002238E4">
      <w:pPr>
        <w:pStyle w:val="Heading3"/>
      </w:pPr>
      <w:r>
        <w:t>1.a Centre compliancy</w:t>
      </w:r>
    </w:p>
    <w:p w14:paraId="59C1AF14" w14:textId="02FB7A14" w:rsidR="002238E4" w:rsidRDefault="002238E4" w:rsidP="002149D1">
      <w:r w:rsidRPr="002149D1">
        <w:rPr>
          <w:b/>
          <w:color w:val="000000"/>
        </w:rPr>
        <w:t>Requirement:</w:t>
      </w:r>
      <w:r>
        <w:rPr>
          <w:b/>
          <w:color w:val="000000"/>
        </w:rPr>
        <w:t xml:space="preserve"> </w:t>
      </w:r>
      <w:r w:rsidRPr="00A50DDA">
        <w:t>Centres need to offer useful s</w:t>
      </w:r>
      <w:r>
        <w:t>ervices to the CLARIN community</w:t>
      </w:r>
    </w:p>
    <w:p w14:paraId="504AFBD8" w14:textId="77777777" w:rsidR="002238E4" w:rsidRDefault="002238E4" w:rsidP="002149D1">
      <w:pPr>
        <w:rPr>
          <w:b/>
          <w:color w:val="000000"/>
        </w:rPr>
      </w:pPr>
    </w:p>
    <w:p w14:paraId="28FF61C3" w14:textId="6832D225" w:rsidR="002238E4" w:rsidRDefault="002238E4" w:rsidP="002149D1">
      <w:r w:rsidRPr="00195834">
        <w:rPr>
          <w:b/>
          <w:color w:val="000000"/>
        </w:rPr>
        <w:t>Details:</w:t>
      </w:r>
      <w:r>
        <w:rPr>
          <w:b/>
          <w:color w:val="000000"/>
        </w:rPr>
        <w:t xml:space="preserve"> </w:t>
      </w:r>
      <w:r>
        <w:t>The technical management of its CLARIN consortium has to give a written declaration of centre compliancy. The ce</w:t>
      </w:r>
      <w:r w:rsidR="00AB10E9">
        <w:t>ntre should attach or give a URL</w:t>
      </w:r>
      <w:r>
        <w:t xml:space="preserve"> to this document.</w:t>
      </w:r>
    </w:p>
    <w:p w14:paraId="4D2E1214" w14:textId="77777777" w:rsidR="002238E4" w:rsidRDefault="002238E4" w:rsidP="002149D1"/>
    <w:p w14:paraId="33C28ACA" w14:textId="75B317AE" w:rsidR="002238E4" w:rsidRDefault="002238E4" w:rsidP="002238E4">
      <w:pPr>
        <w:pStyle w:val="Heading3"/>
      </w:pPr>
      <w:r>
        <w:t xml:space="preserve">1.b </w:t>
      </w:r>
      <w:r w:rsidR="00A56DA1">
        <w:t>Policy of offering data and treatment of IPR issues</w:t>
      </w:r>
    </w:p>
    <w:p w14:paraId="169BA02E" w14:textId="1D64B0AE" w:rsidR="002238E4" w:rsidRDefault="002238E4" w:rsidP="002238E4">
      <w:r w:rsidRPr="002149D1">
        <w:rPr>
          <w:b/>
          <w:color w:val="000000"/>
        </w:rPr>
        <w:t>Requirement:</w:t>
      </w:r>
      <w:r>
        <w:rPr>
          <w:b/>
          <w:color w:val="000000"/>
        </w:rPr>
        <w:t xml:space="preserve"> </w:t>
      </w:r>
      <w:r w:rsidR="00A56DA1" w:rsidRPr="00A50DDA">
        <w:t>Each centre needs to make clear statements about their policy of offering data and services and their treatment of IPR issues.</w:t>
      </w:r>
    </w:p>
    <w:p w14:paraId="4E1E66E2" w14:textId="77777777" w:rsidR="002238E4" w:rsidRPr="002238E4" w:rsidRDefault="002238E4" w:rsidP="002238E4">
      <w:pPr>
        <w:rPr>
          <w:b/>
          <w:color w:val="000000"/>
        </w:rPr>
      </w:pPr>
    </w:p>
    <w:p w14:paraId="6B5CC06D" w14:textId="4496F66E" w:rsidR="002238E4" w:rsidRDefault="002238E4" w:rsidP="002238E4">
      <w:r w:rsidRPr="00195834">
        <w:rPr>
          <w:b/>
          <w:color w:val="000000"/>
        </w:rPr>
        <w:t>Details:</w:t>
      </w:r>
      <w:r>
        <w:rPr>
          <w:b/>
          <w:color w:val="000000"/>
        </w:rPr>
        <w:t xml:space="preserve"> </w:t>
      </w:r>
      <w:r>
        <w:t xml:space="preserve">The </w:t>
      </w:r>
      <w:r w:rsidR="00A56DA1">
        <w:t xml:space="preserve">centre </w:t>
      </w:r>
      <w:r>
        <w:t xml:space="preserve">has to give </w:t>
      </w:r>
      <w:r w:rsidR="00A56DA1">
        <w:t xml:space="preserve">a short description of their policy of offering data and services and their treatment of IPR issues. If the information </w:t>
      </w:r>
      <w:r w:rsidR="00AB10E9">
        <w:t xml:space="preserve">can be found </w:t>
      </w:r>
      <w:r w:rsidR="00A56DA1">
        <w:t xml:space="preserve">on </w:t>
      </w:r>
      <w:r w:rsidR="00AB10E9">
        <w:t>URL</w:t>
      </w:r>
      <w:r w:rsidR="00A56DA1">
        <w:t xml:space="preserve">’s stating </w:t>
      </w:r>
      <w:r w:rsidR="00822CE3">
        <w:t xml:space="preserve">which </w:t>
      </w:r>
      <w:r w:rsidR="00AB10E9">
        <w:t>URL’</w:t>
      </w:r>
      <w:r w:rsidR="00A56DA1">
        <w:t xml:space="preserve">s </w:t>
      </w:r>
      <w:r w:rsidR="00822CE3">
        <w:t>that contain the information are</w:t>
      </w:r>
      <w:r w:rsidR="00A56DA1">
        <w:t xml:space="preserve"> sufficient.</w:t>
      </w:r>
    </w:p>
    <w:p w14:paraId="54CDA4E4" w14:textId="74DB931C" w:rsidR="002238E4" w:rsidRDefault="002238E4" w:rsidP="002149D1"/>
    <w:p w14:paraId="40693C3C" w14:textId="0D7E6274" w:rsidR="00822CE3" w:rsidRDefault="00822CE3" w:rsidP="00822CE3">
      <w:pPr>
        <w:pStyle w:val="Heading3"/>
      </w:pPr>
      <w:r>
        <w:t>1.c F</w:t>
      </w:r>
      <w:r w:rsidRPr="00A50DDA">
        <w:t xml:space="preserve">unding support </w:t>
      </w:r>
    </w:p>
    <w:p w14:paraId="7BFC3BD4" w14:textId="0EB81B2E" w:rsidR="00822CE3" w:rsidRDefault="00822CE3" w:rsidP="00822CE3">
      <w:r w:rsidRPr="002149D1">
        <w:rPr>
          <w:b/>
          <w:color w:val="000000"/>
        </w:rPr>
        <w:t>Requirement:</w:t>
      </w:r>
      <w:r>
        <w:rPr>
          <w:b/>
          <w:color w:val="000000"/>
        </w:rPr>
        <w:t xml:space="preserve"> </w:t>
      </w:r>
      <w:r w:rsidRPr="00A50DDA">
        <w:t>Each centre needs to make explicit statements to the CLARIN boards about its funding support state and its perspectives in th</w:t>
      </w:r>
      <w:r>
        <w:t>is respect</w:t>
      </w:r>
      <w:r w:rsidRPr="00A50DDA">
        <w:t>.</w:t>
      </w:r>
    </w:p>
    <w:p w14:paraId="36078B9D" w14:textId="77777777" w:rsidR="00822CE3" w:rsidRPr="002238E4" w:rsidRDefault="00822CE3" w:rsidP="00822CE3">
      <w:pPr>
        <w:rPr>
          <w:b/>
          <w:color w:val="000000"/>
        </w:rPr>
      </w:pPr>
    </w:p>
    <w:p w14:paraId="2175D496" w14:textId="47F7690F" w:rsidR="00822CE3" w:rsidRDefault="00822CE3" w:rsidP="00822CE3">
      <w:r w:rsidRPr="00195834">
        <w:rPr>
          <w:b/>
          <w:color w:val="000000"/>
        </w:rPr>
        <w:t>Details:</w:t>
      </w:r>
      <w:r>
        <w:rPr>
          <w:b/>
          <w:color w:val="000000"/>
        </w:rPr>
        <w:t xml:space="preserve"> </w:t>
      </w:r>
      <w:r>
        <w:rPr>
          <w:color w:val="000000"/>
        </w:rPr>
        <w:t>each centre has to give a short description of the funding situation and the future plans.</w:t>
      </w:r>
    </w:p>
    <w:p w14:paraId="13132420" w14:textId="306A3CA9" w:rsidR="00822CE3" w:rsidRDefault="00822CE3" w:rsidP="00822CE3">
      <w:pPr>
        <w:pStyle w:val="Heading3"/>
      </w:pPr>
      <w:r>
        <w:lastRenderedPageBreak/>
        <w:t>1.d Visibility of connection to CLARIN ERIC</w:t>
      </w:r>
      <w:r w:rsidRPr="00A50DDA">
        <w:t xml:space="preserve"> </w:t>
      </w:r>
    </w:p>
    <w:p w14:paraId="7C0E717F" w14:textId="77777777" w:rsidR="006E7CB5" w:rsidRDefault="00822CE3" w:rsidP="00822CE3">
      <w:pPr>
        <w:rPr>
          <w:b/>
          <w:color w:val="000000"/>
        </w:rPr>
      </w:pPr>
      <w:r w:rsidRPr="002149D1">
        <w:rPr>
          <w:b/>
          <w:color w:val="000000"/>
        </w:rPr>
        <w:t>Requirement:</w:t>
      </w:r>
      <w:r>
        <w:rPr>
          <w:b/>
          <w:color w:val="000000"/>
        </w:rPr>
        <w:t xml:space="preserve"> </w:t>
      </w:r>
    </w:p>
    <w:p w14:paraId="605D8E14" w14:textId="63AF6AE8" w:rsidR="00822CE3" w:rsidRDefault="006E7CB5" w:rsidP="00822CE3">
      <w:r>
        <w:t xml:space="preserve">Each centre needs to refer to CLARIN </w:t>
      </w:r>
      <w:r w:rsidR="00D6307F">
        <w:t xml:space="preserve">ERIC </w:t>
      </w:r>
      <w:r>
        <w:t xml:space="preserve">in a visible way </w:t>
      </w:r>
      <w:r w:rsidR="00D6307F">
        <w:t xml:space="preserve">on </w:t>
      </w:r>
      <w:r>
        <w:t xml:space="preserve">their </w:t>
      </w:r>
      <w:proofErr w:type="gramStart"/>
      <w:r>
        <w:t>web-sites</w:t>
      </w:r>
      <w:proofErr w:type="gramEnd"/>
      <w:r w:rsidR="00822CE3" w:rsidRPr="00A50DDA">
        <w:t>.</w:t>
      </w:r>
    </w:p>
    <w:p w14:paraId="002086C9" w14:textId="77777777" w:rsidR="00822CE3" w:rsidRPr="002238E4" w:rsidRDefault="00822CE3" w:rsidP="00822CE3">
      <w:pPr>
        <w:rPr>
          <w:b/>
          <w:color w:val="000000"/>
        </w:rPr>
      </w:pPr>
    </w:p>
    <w:p w14:paraId="7ADF879C" w14:textId="6FE9D76D" w:rsidR="00822CE3" w:rsidRDefault="00822CE3" w:rsidP="00822CE3">
      <w:r w:rsidRPr="00195834">
        <w:rPr>
          <w:b/>
          <w:color w:val="000000"/>
        </w:rPr>
        <w:t>Details:</w:t>
      </w:r>
      <w:r>
        <w:rPr>
          <w:b/>
          <w:color w:val="000000"/>
        </w:rPr>
        <w:t xml:space="preserve"> </w:t>
      </w:r>
      <w:r w:rsidR="002A11EF">
        <w:rPr>
          <w:b/>
          <w:color w:val="000000"/>
        </w:rPr>
        <w:t xml:space="preserve"> </w:t>
      </w:r>
      <w:r>
        <w:rPr>
          <w:color w:val="000000"/>
        </w:rPr>
        <w:t xml:space="preserve">each centre has to </w:t>
      </w:r>
      <w:r w:rsidR="002A11EF">
        <w:rPr>
          <w:color w:val="000000"/>
        </w:rPr>
        <w:t>have a clear reference to the CLARIN ERIC web site or in other ways refer to the CLARIN ERIC</w:t>
      </w:r>
      <w:r>
        <w:rPr>
          <w:color w:val="000000"/>
        </w:rPr>
        <w:t>.</w:t>
      </w:r>
    </w:p>
    <w:p w14:paraId="6C626D86" w14:textId="77777777" w:rsidR="00822CE3" w:rsidRDefault="00822CE3" w:rsidP="00822CE3"/>
    <w:p w14:paraId="324EC61D" w14:textId="77777777" w:rsidR="00822CE3" w:rsidRDefault="00822CE3" w:rsidP="002149D1"/>
    <w:sectPr w:rsidR="00822CE3" w:rsidSect="0053734D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F286" w14:textId="77777777" w:rsidR="00B06231" w:rsidRDefault="00B06231" w:rsidP="002149D1">
      <w:r>
        <w:separator/>
      </w:r>
    </w:p>
  </w:endnote>
  <w:endnote w:type="continuationSeparator" w:id="0">
    <w:p w14:paraId="572965B3" w14:textId="77777777" w:rsidR="00B06231" w:rsidRDefault="00B06231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24C1" w14:textId="77777777" w:rsidR="00B06231" w:rsidRDefault="00B06231" w:rsidP="00B06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6C6C5" w14:textId="77777777" w:rsidR="00B06231" w:rsidRDefault="00B06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ED98" w14:textId="77777777" w:rsidR="00B06231" w:rsidRDefault="00B06231" w:rsidP="00B06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7A933" w14:textId="77777777" w:rsidR="00B06231" w:rsidRDefault="00B062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BCBE" w14:textId="77777777" w:rsidR="00B06231" w:rsidRDefault="00B06231" w:rsidP="002149D1">
      <w:r>
        <w:separator/>
      </w:r>
    </w:p>
  </w:footnote>
  <w:footnote w:type="continuationSeparator" w:id="0">
    <w:p w14:paraId="616A31A2" w14:textId="77777777" w:rsidR="00B06231" w:rsidRDefault="00B06231" w:rsidP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98F"/>
    <w:multiLevelType w:val="hybridMultilevel"/>
    <w:tmpl w:val="5220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1FAB"/>
    <w:multiLevelType w:val="hybridMultilevel"/>
    <w:tmpl w:val="29588B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A3023"/>
    <w:multiLevelType w:val="hybridMultilevel"/>
    <w:tmpl w:val="E53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02980"/>
    <w:multiLevelType w:val="hybridMultilevel"/>
    <w:tmpl w:val="8B1A10CC"/>
    <w:lvl w:ilvl="0" w:tplc="19F8C1B4">
      <w:start w:val="1"/>
      <w:numFmt w:val="decimal"/>
      <w:pStyle w:val="Heading2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03F5"/>
    <w:multiLevelType w:val="hybridMultilevel"/>
    <w:tmpl w:val="E79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144F"/>
    <w:multiLevelType w:val="hybridMultilevel"/>
    <w:tmpl w:val="7894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D1"/>
    <w:rsid w:val="00053EBF"/>
    <w:rsid w:val="002149D1"/>
    <w:rsid w:val="002238E4"/>
    <w:rsid w:val="002A11EF"/>
    <w:rsid w:val="002C315C"/>
    <w:rsid w:val="00302564"/>
    <w:rsid w:val="00334B7D"/>
    <w:rsid w:val="003D72C4"/>
    <w:rsid w:val="003E2D39"/>
    <w:rsid w:val="0053734D"/>
    <w:rsid w:val="0068608F"/>
    <w:rsid w:val="006E7CB5"/>
    <w:rsid w:val="00822CE3"/>
    <w:rsid w:val="00874688"/>
    <w:rsid w:val="009E4DBF"/>
    <w:rsid w:val="00A56DA1"/>
    <w:rsid w:val="00AB10E9"/>
    <w:rsid w:val="00AB45AA"/>
    <w:rsid w:val="00B06231"/>
    <w:rsid w:val="00B62EC5"/>
    <w:rsid w:val="00BE547F"/>
    <w:rsid w:val="00D6307F"/>
    <w:rsid w:val="00DC42F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80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D1"/>
    <w:pPr>
      <w:keepNext/>
      <w:keepLines/>
      <w:numPr>
        <w:numId w:val="5"/>
      </w:numPr>
      <w:spacing w:before="200"/>
      <w:ind w:left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8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uiPriority w:val="99"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1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styleId="FollowedHyperlink">
    <w:name w:val="FollowedHyperlink"/>
    <w:basedOn w:val="DefaultParagraphFont"/>
    <w:uiPriority w:val="99"/>
    <w:semiHidden/>
    <w:unhideWhenUsed/>
    <w:rsid w:val="009E4DB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E2D39"/>
    <w:pPr>
      <w:suppressAutoHyphens/>
      <w:spacing w:after="120"/>
    </w:pPr>
    <w:rPr>
      <w:rFonts w:ascii="Cambria" w:hAnsi="Cambria" w:cs="Cambria"/>
      <w:kern w:val="1"/>
    </w:rPr>
  </w:style>
  <w:style w:type="character" w:customStyle="1" w:styleId="BodyTextChar">
    <w:name w:val="Body Text Char"/>
    <w:basedOn w:val="DefaultParagraphFont"/>
    <w:link w:val="BodyText"/>
    <w:rsid w:val="003E2D39"/>
    <w:rPr>
      <w:rFonts w:ascii="Cambria" w:eastAsia="Times New Roman" w:hAnsi="Cambria" w:cs="Cambria"/>
      <w:kern w:val="1"/>
      <w:sz w:val="22"/>
      <w:lang w:val="en-GB" w:eastAsia="de-DE"/>
    </w:rPr>
  </w:style>
  <w:style w:type="character" w:customStyle="1" w:styleId="FootnoteTextChar1">
    <w:name w:val="Footnote Text Char1"/>
    <w:uiPriority w:val="99"/>
    <w:rsid w:val="003E2D39"/>
    <w:rPr>
      <w:rFonts w:ascii="Cambria" w:hAnsi="Cambria" w:cs="Cambria"/>
      <w:kern w:val="1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238E4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E7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B5"/>
    <w:pPr>
      <w:spacing w:after="200"/>
    </w:pPr>
    <w:rPr>
      <w:rFonts w:eastAsiaTheme="minorHAnsi" w:cstheme="minorBidi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B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D1"/>
    <w:pPr>
      <w:keepNext/>
      <w:keepLines/>
      <w:numPr>
        <w:numId w:val="5"/>
      </w:numPr>
      <w:spacing w:before="200"/>
      <w:ind w:left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8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uiPriority w:val="99"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1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styleId="FollowedHyperlink">
    <w:name w:val="FollowedHyperlink"/>
    <w:basedOn w:val="DefaultParagraphFont"/>
    <w:uiPriority w:val="99"/>
    <w:semiHidden/>
    <w:unhideWhenUsed/>
    <w:rsid w:val="009E4DB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E2D39"/>
    <w:pPr>
      <w:suppressAutoHyphens/>
      <w:spacing w:after="120"/>
    </w:pPr>
    <w:rPr>
      <w:rFonts w:ascii="Cambria" w:hAnsi="Cambria" w:cs="Cambria"/>
      <w:kern w:val="1"/>
    </w:rPr>
  </w:style>
  <w:style w:type="character" w:customStyle="1" w:styleId="BodyTextChar">
    <w:name w:val="Body Text Char"/>
    <w:basedOn w:val="DefaultParagraphFont"/>
    <w:link w:val="BodyText"/>
    <w:rsid w:val="003E2D39"/>
    <w:rPr>
      <w:rFonts w:ascii="Cambria" w:eastAsia="Times New Roman" w:hAnsi="Cambria" w:cs="Cambria"/>
      <w:kern w:val="1"/>
      <w:sz w:val="22"/>
      <w:lang w:val="en-GB" w:eastAsia="de-DE"/>
    </w:rPr>
  </w:style>
  <w:style w:type="character" w:customStyle="1" w:styleId="FootnoteTextChar1">
    <w:name w:val="Footnote Text Char1"/>
    <w:uiPriority w:val="99"/>
    <w:rsid w:val="003E2D39"/>
    <w:rPr>
      <w:rFonts w:ascii="Cambria" w:hAnsi="Cambria" w:cs="Cambria"/>
      <w:kern w:val="1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238E4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E7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B5"/>
    <w:pPr>
      <w:spacing w:after="200"/>
    </w:pPr>
    <w:rPr>
      <w:rFonts w:eastAsiaTheme="minorHAnsi" w:cstheme="minorBidi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B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for Psycholinguistics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Van Uytvanck</dc:creator>
  <cp:lastModifiedBy>Dieter Van Uytvanck</cp:lastModifiedBy>
  <cp:revision>2</cp:revision>
  <cp:lastPrinted>2013-02-21T12:24:00Z</cp:lastPrinted>
  <dcterms:created xsi:type="dcterms:W3CDTF">2013-09-25T09:17:00Z</dcterms:created>
  <dcterms:modified xsi:type="dcterms:W3CDTF">2013-09-25T09:17:00Z</dcterms:modified>
</cp:coreProperties>
</file>